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</w:t>
      </w: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page">
                  <wp:posOffset>251334</wp:posOffset>
                </wp:positionH>
                <wp:positionV relativeFrom="page">
                  <wp:posOffset>667258</wp:posOffset>
                </wp:positionV>
                <wp:extent cx="2136648" cy="5666485"/>
                <wp:effectExtent l="0" t="0" r="1905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6648" cy="5666485"/>
                          <a:chOff x="0" y="0"/>
                          <a:chExt cx="2116667" cy="7770221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Enlace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Nexo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d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el equipo de producción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con los oyentes; y de los oyentes entre sí mismos 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11667" y="3522071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Jueves de cada semana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cs="Times New Roman" w:eastAsia="Calibri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026" filled="f" stroked="f" style="position:absolute;margin-left:19.79pt;margin-top:52.54pt;width:168.24pt;height:446.18pt;z-index:2;mso-position-horizontal-relative:page;mso-position-vertical-relative:page;mso-width-relative:margin;mso-height-relative:margin;mso-wrap-distance-left:7.2000003pt;mso-wrap-distance-right:7.2000003pt;mso-wrap-distance-bottom:216.0pt;visibility:visible;" coordsize="2116667,7770221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Enlace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Nexo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</w:t>
                        </w:r>
                        <w:r>
                          <w:rPr>
                            <w:noProof/>
                            <w:lang w:val="es-ES"/>
                          </w:rPr>
                          <w:t>d</w:t>
                        </w:r>
                        <w:r>
                          <w:rPr>
                            <w:noProof/>
                            <w:lang w:val="es-ES"/>
                          </w:rPr>
                          <w:t>el equipo de producción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con los oyentes; y de los oyentes entre sí mismos 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6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</w:p>
                    </w:txbxContent>
                  </v:textbox>
                </v:rect>
                <v:rect id="1028" filled="f" stroked="f" style="position:absolute;left:211667;top:3522071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Jueves de cada semana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cs="Times New Roman" w:eastAsia="Calibri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ntregar: 5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Aportar sentido de pertenencia y de compañía al radio oyente, haciéndole sentir parte de la gran familia que somos.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Dar a conocer a los oyentes entre sí, mientras el punto principal siempre será acercar a todos a Dios, mediante el intercambio espiritual, sin dejar de ser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amistoso y alegre, 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la publicación de breves testimonios y experiencias asociados a la programación que ofrecemos.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  <w:bookmarkStart w:id="0" w:name="_GoBack"/>
      <w:bookmarkEnd w:id="0"/>
    </w:p>
    <w:p>
      <w:pPr>
        <w:pStyle w:val="style0"/>
        <w:numPr>
          <w:ilvl w:val="0"/>
          <w:numId w:val="3"/>
        </w:numPr>
        <w:spacing w:after="480" w:lineRule="auto" w:line="48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Saludo;</w:t>
      </w:r>
    </w:p>
    <w:p>
      <w:pPr>
        <w:pStyle w:val="style0"/>
        <w:numPr>
          <w:ilvl w:val="0"/>
          <w:numId w:val="3"/>
        </w:numPr>
        <w:spacing w:after="480" w:lineRule="auto" w:line="48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Presentación del contenido del intercambio:</w:t>
      </w:r>
    </w:p>
    <w:p>
      <w:pPr>
        <w:pStyle w:val="style0"/>
        <w:spacing w:after="480" w:lineRule="auto" w:line="480"/>
        <w:ind w:left="77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-Intercambio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de saludos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(en vivo o pre-grabados)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entre oyentes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con frases de bendición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spacing w:after="480" w:lineRule="auto" w:line="480"/>
        <w:ind w:left="77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-Testimonios;</w:t>
      </w:r>
    </w:p>
    <w:p>
      <w:pPr>
        <w:pStyle w:val="style0"/>
        <w:spacing w:after="480" w:lineRule="auto" w:line="480"/>
        <w:ind w:left="77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-Cumpleaños;</w:t>
      </w:r>
    </w:p>
    <w:p>
      <w:pPr>
        <w:pStyle w:val="style0"/>
        <w:numPr>
          <w:ilvl w:val="0"/>
          <w:numId w:val="3"/>
        </w:numPr>
        <w:spacing w:after="480" w:lineRule="auto" w:line="48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Sección: </w:t>
      </w: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La cuestión del momento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:</w:t>
      </w:r>
    </w:p>
    <w:p>
      <w:pPr>
        <w:pStyle w:val="style0"/>
        <w:spacing w:after="480" w:lineRule="auto" w:line="480"/>
        <w:ind w:left="77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La pregunta de la emisión y el premio de preferencia </w:t>
      </w:r>
    </w:p>
    <w:p>
      <w:pPr>
        <w:pStyle w:val="style0"/>
        <w:spacing w:after="480" w:lineRule="auto" w:line="480"/>
        <w:ind w:left="77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(Cada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emisión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tendrá una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pregunta clave que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se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dejará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abierta para ser contestada por la audiencia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; el premio de preferencia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queda por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ser establecido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...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480"/>
        <w:contextualSpacing/>
        <w:rPr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Breve despedida e invitación para el próximo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Enlace</w:t>
      </w:r>
    </w:p>
    <w:p>
      <w:pPr>
        <w:pStyle w:val="style0"/>
        <w:rPr>
          <w:lang w:val="es-ES"/>
        </w:rPr>
      </w:pP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189</Words>
  <Characters>1038</Characters>
  <Application>WPS Office</Application>
  <DocSecurity>0</DocSecurity>
  <Paragraphs>32</Paragraphs>
  <ScaleCrop>false</ScaleCrop>
  <LinksUpToDate>false</LinksUpToDate>
  <CharactersWithSpaces>1215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2024-02-13T16:31:36Z</dcterms:created>
  <dc:creator>Enlace</dc:creator>
  <lastModifiedBy>SM-A032M</lastModifiedBy>
  <dcterms:modified xsi:type="dcterms:W3CDTF">2024-02-13T16:31:36Z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